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4853CF"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39"/>
        <w:gridCol w:w="4980"/>
      </w:tblGrid>
      <w:tr w:rsidR="00586F20" w:rsidRPr="00E73D2F" w:rsidTr="009D08DA">
        <w:tc>
          <w:tcPr>
            <w:tcW w:w="4036" w:type="dxa"/>
            <w:gridSpan w:val="2"/>
            <w:shd w:val="clear" w:color="auto" w:fill="auto"/>
          </w:tcPr>
          <w:p w:rsidR="009D72AA" w:rsidRPr="00E73D2F" w:rsidRDefault="009D72AA" w:rsidP="00D6008D">
            <w:pPr>
              <w:rPr>
                <w:rFonts w:ascii="Arial" w:hAnsi="Arial"/>
              </w:rPr>
            </w:pPr>
            <w:r w:rsidRPr="00E73D2F">
              <w:rPr>
                <w:rFonts w:ascii="Arial" w:hAnsi="Arial"/>
                <w:b/>
              </w:rPr>
              <w:t>Officer:</w:t>
            </w:r>
            <w:r w:rsidR="00CE022F">
              <w:rPr>
                <w:rFonts w:ascii="Arial" w:hAnsi="Arial"/>
                <w:b/>
              </w:rPr>
              <w:t xml:space="preserve"> </w:t>
            </w:r>
            <w:r w:rsidR="00D6008D">
              <w:rPr>
                <w:rFonts w:ascii="Arial" w:hAnsi="Arial"/>
                <w:b/>
              </w:rPr>
              <w:t>Head of Law &amp; Governance</w:t>
            </w:r>
            <w:r w:rsidR="00154649">
              <w:rPr>
                <w:rFonts w:ascii="Arial" w:hAnsi="Arial"/>
                <w:b/>
              </w:rPr>
              <w:t xml:space="preserve"> </w:t>
            </w:r>
          </w:p>
        </w:tc>
        <w:tc>
          <w:tcPr>
            <w:tcW w:w="4980" w:type="dxa"/>
            <w:shd w:val="clear" w:color="auto" w:fill="auto"/>
          </w:tcPr>
          <w:p w:rsidR="00E74CDA" w:rsidRDefault="00586F20" w:rsidP="00373837">
            <w:pPr>
              <w:rPr>
                <w:rFonts w:ascii="Arial" w:hAnsi="Arial"/>
                <w:b/>
              </w:rPr>
            </w:pPr>
            <w:r w:rsidRPr="00E73D2F">
              <w:rPr>
                <w:rFonts w:ascii="Arial" w:hAnsi="Arial"/>
                <w:b/>
              </w:rPr>
              <w:t>Date of Decision:</w:t>
            </w:r>
            <w:r w:rsidR="00CE022F">
              <w:rPr>
                <w:rFonts w:ascii="Arial" w:hAnsi="Arial"/>
                <w:b/>
              </w:rPr>
              <w:t xml:space="preserve"> </w:t>
            </w:r>
            <w:r w:rsidR="009D08DA">
              <w:rPr>
                <w:rFonts w:ascii="Arial" w:hAnsi="Arial"/>
                <w:b/>
              </w:rPr>
              <w:t>27 January</w:t>
            </w:r>
            <w:r w:rsidR="00A63473">
              <w:rPr>
                <w:rFonts w:ascii="Arial" w:hAnsi="Arial"/>
                <w:b/>
              </w:rPr>
              <w:t xml:space="preserve"> </w:t>
            </w:r>
            <w:r w:rsidR="00D6008D">
              <w:rPr>
                <w:rFonts w:ascii="Arial" w:hAnsi="Arial"/>
                <w:b/>
              </w:rPr>
              <w:t>202</w:t>
            </w:r>
            <w:r w:rsidR="009D08DA">
              <w:rPr>
                <w:rFonts w:ascii="Arial" w:hAnsi="Arial"/>
                <w:b/>
              </w:rPr>
              <w:t>2</w:t>
            </w:r>
          </w:p>
          <w:p w:rsidR="00136429" w:rsidRPr="00E73D2F" w:rsidRDefault="00136429" w:rsidP="00373837">
            <w:pPr>
              <w:rPr>
                <w:rFonts w:ascii="Arial" w:hAnsi="Arial"/>
              </w:rPr>
            </w:pPr>
          </w:p>
        </w:tc>
      </w:tr>
      <w:tr w:rsidR="00586F20" w:rsidRPr="00E73D2F" w:rsidTr="009D08DA">
        <w:tc>
          <w:tcPr>
            <w:tcW w:w="9016" w:type="dxa"/>
            <w:gridSpan w:val="3"/>
            <w:shd w:val="clear" w:color="auto" w:fill="auto"/>
          </w:tcPr>
          <w:p w:rsidR="00957E23" w:rsidRDefault="00586F20" w:rsidP="00122023">
            <w:pPr>
              <w:rPr>
                <w:rFonts w:ascii="Arial" w:hAnsi="Arial"/>
                <w:b/>
              </w:rPr>
            </w:pPr>
            <w:r w:rsidRPr="00E73D2F">
              <w:rPr>
                <w:rFonts w:ascii="Arial" w:hAnsi="Arial"/>
                <w:b/>
              </w:rPr>
              <w:t xml:space="preserve">Title/Reference: </w:t>
            </w:r>
            <w:r w:rsidR="00154649">
              <w:rPr>
                <w:rFonts w:ascii="Arial" w:hAnsi="Arial"/>
                <w:b/>
              </w:rPr>
              <w:t xml:space="preserve"> </w:t>
            </w:r>
            <w:r w:rsidR="009D08DA">
              <w:rPr>
                <w:rFonts w:ascii="Arial" w:hAnsi="Arial"/>
                <w:b/>
              </w:rPr>
              <w:t>Updated RIPA Policy and Guidance</w:t>
            </w:r>
          </w:p>
          <w:p w:rsidR="00957E23" w:rsidRDefault="00957E23" w:rsidP="00122023">
            <w:pPr>
              <w:rPr>
                <w:rFonts w:ascii="Arial" w:hAnsi="Arial"/>
                <w:b/>
              </w:rPr>
            </w:pPr>
          </w:p>
          <w:p w:rsidR="00E74CDA" w:rsidRPr="00957E23" w:rsidRDefault="00557B22" w:rsidP="00BD26AC">
            <w:pPr>
              <w:rPr>
                <w:rFonts w:ascii="Arial" w:hAnsi="Arial"/>
                <w:b/>
              </w:rPr>
            </w:pPr>
            <w:r>
              <w:rPr>
                <w:rFonts w:ascii="Arial" w:hAnsi="Arial"/>
                <w:b/>
              </w:rPr>
              <w:t xml:space="preserve">Delegated Decision </w:t>
            </w:r>
            <w:r w:rsidR="00E74CDA" w:rsidRPr="00BB48D6">
              <w:rPr>
                <w:rFonts w:ascii="Arial" w:hAnsi="Arial"/>
                <w:b/>
              </w:rPr>
              <w:t>Ref</w:t>
            </w:r>
            <w:r w:rsidR="00E74CDA">
              <w:rPr>
                <w:rFonts w:ascii="Arial" w:hAnsi="Arial"/>
              </w:rPr>
              <w:t xml:space="preserve">: </w:t>
            </w:r>
            <w:r w:rsidR="00D6008D">
              <w:rPr>
                <w:rFonts w:ascii="Arial" w:hAnsi="Arial"/>
              </w:rPr>
              <w:t>2</w:t>
            </w:r>
            <w:r w:rsidR="00BD26AC">
              <w:rPr>
                <w:rFonts w:ascii="Arial" w:hAnsi="Arial"/>
              </w:rPr>
              <w:t>2</w:t>
            </w:r>
            <w:r w:rsidR="00D6008D">
              <w:rPr>
                <w:rFonts w:ascii="Arial" w:hAnsi="Arial"/>
              </w:rPr>
              <w:t>/</w:t>
            </w:r>
            <w:r w:rsidR="00BD26AC">
              <w:rPr>
                <w:rFonts w:ascii="Arial" w:hAnsi="Arial"/>
              </w:rPr>
              <w:t>01</w:t>
            </w:r>
            <w:r w:rsidR="00D6008D">
              <w:rPr>
                <w:rFonts w:ascii="Arial" w:hAnsi="Arial"/>
              </w:rPr>
              <w:t>/HLG</w:t>
            </w:r>
          </w:p>
        </w:tc>
      </w:tr>
      <w:tr w:rsidR="00586F20" w:rsidRPr="00E73D2F" w:rsidTr="009D08DA">
        <w:tc>
          <w:tcPr>
            <w:tcW w:w="9016" w:type="dxa"/>
            <w:gridSpan w:val="3"/>
            <w:shd w:val="clear" w:color="auto" w:fill="auto"/>
          </w:tcPr>
          <w:p w:rsidR="00586F20" w:rsidRPr="00CE022F"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r w:rsidR="00D6008D">
              <w:rPr>
                <w:rFonts w:ascii="Arial" w:hAnsi="Arial"/>
                <w:b/>
              </w:rPr>
              <w:t>N/A</w:t>
            </w:r>
          </w:p>
          <w:p w:rsidR="00E74CDA" w:rsidRPr="00E73D2F" w:rsidRDefault="00E74CDA" w:rsidP="00E524AE">
            <w:pPr>
              <w:rPr>
                <w:rFonts w:ascii="Arial" w:hAnsi="Arial"/>
              </w:rPr>
            </w:pPr>
          </w:p>
        </w:tc>
      </w:tr>
      <w:tr w:rsidR="00586F20" w:rsidRPr="00E73D2F" w:rsidTr="009D08DA">
        <w:tc>
          <w:tcPr>
            <w:tcW w:w="9016" w:type="dxa"/>
            <w:gridSpan w:val="3"/>
            <w:shd w:val="clear" w:color="auto" w:fill="auto"/>
          </w:tcPr>
          <w:p w:rsidR="00162039" w:rsidRDefault="00586F20" w:rsidP="00162039">
            <w:pPr>
              <w:spacing w:before="120"/>
              <w:rPr>
                <w:rFonts w:ascii="Arial" w:hAnsi="Arial"/>
              </w:rPr>
            </w:pPr>
            <w:r w:rsidRPr="00E73D2F">
              <w:rPr>
                <w:rFonts w:ascii="Arial" w:hAnsi="Arial"/>
                <w:b/>
              </w:rPr>
              <w:t>Record of Decision</w:t>
            </w:r>
            <w:r w:rsidR="009D72AA" w:rsidRPr="00E73D2F">
              <w:rPr>
                <w:rFonts w:ascii="Arial" w:hAnsi="Arial"/>
                <w:b/>
              </w:rPr>
              <w:t>:</w:t>
            </w:r>
            <w:r w:rsidR="00162039">
              <w:rPr>
                <w:rFonts w:ascii="Arial" w:hAnsi="Arial"/>
              </w:rPr>
              <w:t xml:space="preserve"> To </w:t>
            </w:r>
            <w:r w:rsidR="009D08DA">
              <w:rPr>
                <w:rFonts w:ascii="Arial" w:hAnsi="Arial"/>
              </w:rPr>
              <w:t xml:space="preserve">update the Council’s RIPA policy and guidance to ensure it remains fit for purpose and relevant. </w:t>
            </w:r>
          </w:p>
          <w:p w:rsidR="009D08DA" w:rsidRDefault="009D08DA" w:rsidP="00162039">
            <w:pPr>
              <w:spacing w:before="120"/>
              <w:rPr>
                <w:rFonts w:ascii="Arial" w:hAnsi="Arial"/>
              </w:rPr>
            </w:pPr>
            <w:r>
              <w:rPr>
                <w:rFonts w:ascii="Arial" w:hAnsi="Arial"/>
              </w:rPr>
              <w:t>The Council’s RIPA Policy and guidance has been reviewed by the Shared Legal Service to confirm that it remains up to date and relevant and small changes have been made to the guidance as follows:</w:t>
            </w:r>
          </w:p>
          <w:p w:rsidR="009D08DA" w:rsidRDefault="009D08DA" w:rsidP="009D08DA">
            <w:pPr>
              <w:pStyle w:val="ListParagraph"/>
              <w:numPr>
                <w:ilvl w:val="0"/>
                <w:numId w:val="3"/>
              </w:numPr>
              <w:spacing w:before="120"/>
              <w:rPr>
                <w:rFonts w:ascii="Arial" w:hAnsi="Arial" w:cs="Arial"/>
              </w:rPr>
            </w:pPr>
            <w:r>
              <w:rPr>
                <w:rFonts w:ascii="Arial" w:hAnsi="Arial" w:cs="Arial"/>
              </w:rPr>
              <w:t xml:space="preserve">To reflect the resignation of Hayley Barsby CEO </w:t>
            </w:r>
          </w:p>
          <w:p w:rsidR="009D08DA" w:rsidRDefault="009D08DA" w:rsidP="009D08DA">
            <w:pPr>
              <w:pStyle w:val="ListParagraph"/>
              <w:numPr>
                <w:ilvl w:val="0"/>
                <w:numId w:val="3"/>
              </w:numPr>
              <w:spacing w:before="120"/>
              <w:rPr>
                <w:rFonts w:ascii="Arial" w:hAnsi="Arial" w:cs="Arial"/>
              </w:rPr>
            </w:pPr>
            <w:r>
              <w:rPr>
                <w:rFonts w:ascii="Arial" w:hAnsi="Arial" w:cs="Arial"/>
              </w:rPr>
              <w:t>To reflect the appointment of Mike Robinson and Mariam Amos as Co-CEO</w:t>
            </w:r>
          </w:p>
          <w:p w:rsidR="009D08DA" w:rsidRDefault="009D08DA" w:rsidP="009D08DA">
            <w:pPr>
              <w:pStyle w:val="ListParagraph"/>
              <w:numPr>
                <w:ilvl w:val="0"/>
                <w:numId w:val="3"/>
              </w:numPr>
              <w:spacing w:before="120"/>
              <w:rPr>
                <w:rFonts w:ascii="Arial" w:hAnsi="Arial" w:cs="Arial"/>
              </w:rPr>
            </w:pPr>
            <w:r>
              <w:rPr>
                <w:rFonts w:ascii="Arial" w:hAnsi="Arial" w:cs="Arial"/>
              </w:rPr>
              <w:t>To ensure that links to relevant homeoffice.gov.uk documents remain valid</w:t>
            </w:r>
          </w:p>
          <w:p w:rsidR="009D08DA" w:rsidRPr="009D08DA" w:rsidRDefault="009D08DA" w:rsidP="009D08DA">
            <w:pPr>
              <w:pStyle w:val="ListParagraph"/>
              <w:numPr>
                <w:ilvl w:val="0"/>
                <w:numId w:val="3"/>
              </w:numPr>
              <w:spacing w:before="120"/>
              <w:rPr>
                <w:rFonts w:ascii="Arial" w:hAnsi="Arial" w:cs="Arial"/>
              </w:rPr>
            </w:pPr>
            <w:r>
              <w:rPr>
                <w:rFonts w:ascii="Arial" w:hAnsi="Arial" w:cs="Arial"/>
              </w:rPr>
              <w:t>To ensure there have been no changes to the code of practice and to ensure the code of practice are properly reflected in the guidance.</w:t>
            </w:r>
          </w:p>
          <w:p w:rsidR="00136429" w:rsidRPr="00E73D2F" w:rsidRDefault="00136429" w:rsidP="00373837">
            <w:pPr>
              <w:jc w:val="both"/>
              <w:rPr>
                <w:rFonts w:ascii="Arial" w:hAnsi="Arial"/>
              </w:rPr>
            </w:pPr>
          </w:p>
        </w:tc>
      </w:tr>
      <w:tr w:rsidR="003D5331" w:rsidRPr="00E73D2F" w:rsidTr="009D08DA">
        <w:tc>
          <w:tcPr>
            <w:tcW w:w="9016" w:type="dxa"/>
            <w:gridSpan w:val="3"/>
            <w:shd w:val="clear" w:color="auto" w:fill="auto"/>
          </w:tcPr>
          <w:p w:rsidR="003D5331" w:rsidRPr="00922488" w:rsidRDefault="003D5331" w:rsidP="003D5331">
            <w:pPr>
              <w:rPr>
                <w:rFonts w:ascii="Arial" w:hAnsi="Arial"/>
              </w:rPr>
            </w:pPr>
            <w:r w:rsidRPr="00E73D2F">
              <w:rPr>
                <w:rFonts w:ascii="Arial" w:hAnsi="Arial"/>
                <w:b/>
              </w:rPr>
              <w:t>Legal Powers / Authority:</w:t>
            </w:r>
            <w:r w:rsidR="00162039">
              <w:rPr>
                <w:rFonts w:ascii="Arial" w:hAnsi="Arial"/>
                <w:b/>
              </w:rPr>
              <w:t xml:space="preserve"> </w:t>
            </w:r>
            <w:r w:rsidR="00922488" w:rsidRPr="00922488">
              <w:rPr>
                <w:rFonts w:ascii="Arial" w:hAnsi="Arial"/>
              </w:rPr>
              <w:t>The Constitution states at 3.01.16.7 that the Head of Law and Governance is “authorised to take all operational decisions relating to Audit, Democratic Services, the running of the Electoral Service, Governance, Information Governance, the Health and Safety Shared Service and the Legal Shared Service.”</w:t>
            </w:r>
          </w:p>
          <w:p w:rsidR="009B6FB1" w:rsidRPr="00E73D2F" w:rsidRDefault="009B6FB1" w:rsidP="000553E6">
            <w:pPr>
              <w:rPr>
                <w:rFonts w:ascii="Arial" w:hAnsi="Arial"/>
                <w:b/>
              </w:rPr>
            </w:pPr>
          </w:p>
        </w:tc>
      </w:tr>
      <w:tr w:rsidR="00E524AE" w:rsidRPr="00E73D2F" w:rsidTr="009D08DA">
        <w:trPr>
          <w:trHeight w:val="275"/>
        </w:trPr>
        <w:tc>
          <w:tcPr>
            <w:tcW w:w="1697"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319" w:type="dxa"/>
            <w:gridSpan w:val="2"/>
            <w:shd w:val="clear" w:color="auto" w:fill="auto"/>
          </w:tcPr>
          <w:p w:rsidR="00E524AE" w:rsidRDefault="00E524AE" w:rsidP="008D4EBC">
            <w:pPr>
              <w:rPr>
                <w:rFonts w:ascii="Arial" w:hAnsi="Arial"/>
              </w:rPr>
            </w:pPr>
            <w:r>
              <w:rPr>
                <w:rFonts w:ascii="Arial" w:hAnsi="Arial"/>
                <w:b/>
              </w:rPr>
              <w:t>Relevant Legislation:</w:t>
            </w:r>
            <w:r w:rsidR="00E74CDA">
              <w:rPr>
                <w:rFonts w:ascii="Arial" w:hAnsi="Arial"/>
              </w:rPr>
              <w:t xml:space="preserve"> </w:t>
            </w:r>
            <w:r w:rsidR="009D08DA">
              <w:rPr>
                <w:rFonts w:ascii="Arial" w:hAnsi="Arial"/>
                <w:b/>
              </w:rPr>
              <w:t>Regulation of Investigatory Powers Act 2000</w:t>
            </w:r>
            <w:r w:rsidR="009D08DA">
              <w:rPr>
                <w:rFonts w:ascii="Arial" w:hAnsi="Arial"/>
              </w:rPr>
              <w:t xml:space="preserve"> </w:t>
            </w:r>
          </w:p>
          <w:p w:rsidR="008D4EBC" w:rsidRPr="00E73D2F" w:rsidRDefault="008D4EBC" w:rsidP="008D4EBC">
            <w:pPr>
              <w:rPr>
                <w:rFonts w:ascii="Arial" w:hAnsi="Arial"/>
                <w:b/>
              </w:rPr>
            </w:pPr>
          </w:p>
        </w:tc>
      </w:tr>
      <w:tr w:rsidR="00E524AE" w:rsidRPr="00E73D2F" w:rsidTr="009D08DA">
        <w:trPr>
          <w:trHeight w:val="275"/>
        </w:trPr>
        <w:tc>
          <w:tcPr>
            <w:tcW w:w="1697" w:type="dxa"/>
            <w:vMerge/>
            <w:shd w:val="clear" w:color="auto" w:fill="auto"/>
          </w:tcPr>
          <w:p w:rsidR="00E524AE" w:rsidRPr="00E73D2F" w:rsidRDefault="00E524AE" w:rsidP="002E566A">
            <w:pPr>
              <w:rPr>
                <w:rFonts w:ascii="Arial" w:hAnsi="Arial"/>
                <w:b/>
              </w:rPr>
            </w:pPr>
          </w:p>
        </w:tc>
        <w:tc>
          <w:tcPr>
            <w:tcW w:w="7319" w:type="dxa"/>
            <w:gridSpan w:val="2"/>
            <w:shd w:val="clear" w:color="auto" w:fill="auto"/>
          </w:tcPr>
          <w:p w:rsidR="008F26A7" w:rsidRDefault="00E524AE" w:rsidP="008F26A7">
            <w:pPr>
              <w:ind w:left="720" w:hanging="720"/>
              <w:rPr>
                <w:rFonts w:ascii="Arial" w:hAnsi="Arial"/>
                <w:b/>
              </w:rPr>
            </w:pPr>
            <w:r w:rsidRPr="00E73D2F">
              <w:rPr>
                <w:rFonts w:ascii="Arial" w:hAnsi="Arial"/>
                <w:b/>
              </w:rPr>
              <w:t xml:space="preserve">Finance: </w:t>
            </w:r>
            <w:r w:rsidR="00534D81">
              <w:rPr>
                <w:rFonts w:ascii="Arial" w:hAnsi="Arial"/>
                <w:b/>
              </w:rPr>
              <w:t>None</w:t>
            </w:r>
          </w:p>
          <w:p w:rsidR="00E524AE" w:rsidRPr="00E73D2F" w:rsidRDefault="00E524AE" w:rsidP="00122023">
            <w:pPr>
              <w:rPr>
                <w:rFonts w:ascii="Arial" w:hAnsi="Arial"/>
                <w:b/>
              </w:rPr>
            </w:pPr>
          </w:p>
        </w:tc>
      </w:tr>
      <w:tr w:rsidR="00E524AE" w:rsidRPr="00E73D2F" w:rsidTr="009D08DA">
        <w:trPr>
          <w:trHeight w:val="345"/>
        </w:trPr>
        <w:tc>
          <w:tcPr>
            <w:tcW w:w="1697" w:type="dxa"/>
            <w:vMerge/>
            <w:shd w:val="clear" w:color="auto" w:fill="auto"/>
          </w:tcPr>
          <w:p w:rsidR="00E524AE" w:rsidRPr="00E73D2F" w:rsidRDefault="00E524AE" w:rsidP="002E566A">
            <w:pPr>
              <w:rPr>
                <w:rFonts w:ascii="Arial" w:hAnsi="Arial"/>
                <w:b/>
              </w:rPr>
            </w:pPr>
          </w:p>
        </w:tc>
        <w:tc>
          <w:tcPr>
            <w:tcW w:w="7319" w:type="dxa"/>
            <w:gridSpan w:val="2"/>
            <w:shd w:val="clear" w:color="auto" w:fill="auto"/>
          </w:tcPr>
          <w:p w:rsidR="00E524AE" w:rsidRPr="00E73D2F" w:rsidRDefault="00E524AE" w:rsidP="00E524AE">
            <w:pPr>
              <w:rPr>
                <w:rFonts w:ascii="Arial" w:hAnsi="Arial"/>
              </w:rPr>
            </w:pPr>
            <w:r w:rsidRPr="00E73D2F">
              <w:rPr>
                <w:rFonts w:ascii="Arial" w:hAnsi="Arial"/>
                <w:b/>
              </w:rPr>
              <w:t>HR:</w:t>
            </w:r>
            <w:r w:rsidR="00534D81">
              <w:rPr>
                <w:rFonts w:ascii="Arial" w:hAnsi="Arial"/>
                <w:b/>
              </w:rPr>
              <w:t xml:space="preserve"> None</w:t>
            </w:r>
          </w:p>
          <w:p w:rsidR="00E524AE" w:rsidRPr="00E73D2F" w:rsidRDefault="00E524AE" w:rsidP="003D5331">
            <w:pPr>
              <w:rPr>
                <w:rFonts w:ascii="Arial" w:hAnsi="Arial"/>
                <w:b/>
              </w:rPr>
            </w:pPr>
          </w:p>
        </w:tc>
      </w:tr>
      <w:tr w:rsidR="00E524AE" w:rsidRPr="00E73D2F" w:rsidTr="009D08DA">
        <w:trPr>
          <w:trHeight w:val="345"/>
        </w:trPr>
        <w:tc>
          <w:tcPr>
            <w:tcW w:w="1697" w:type="dxa"/>
            <w:vMerge/>
            <w:shd w:val="clear" w:color="auto" w:fill="auto"/>
          </w:tcPr>
          <w:p w:rsidR="00E524AE" w:rsidRPr="00E73D2F" w:rsidRDefault="00E524AE" w:rsidP="002E566A">
            <w:pPr>
              <w:rPr>
                <w:rFonts w:ascii="Arial" w:hAnsi="Arial"/>
                <w:b/>
              </w:rPr>
            </w:pPr>
          </w:p>
        </w:tc>
        <w:tc>
          <w:tcPr>
            <w:tcW w:w="7319" w:type="dxa"/>
            <w:gridSpan w:val="2"/>
            <w:shd w:val="clear" w:color="auto" w:fill="auto"/>
          </w:tcPr>
          <w:p w:rsidR="008F26A7" w:rsidRPr="008F26A7" w:rsidRDefault="00E524AE" w:rsidP="008F26A7">
            <w:pPr>
              <w:ind w:left="720" w:hanging="720"/>
              <w:rPr>
                <w:rFonts w:ascii="Arial" w:hAnsi="Arial"/>
              </w:rPr>
            </w:pPr>
            <w:r>
              <w:rPr>
                <w:rFonts w:ascii="Arial" w:hAnsi="Arial"/>
                <w:b/>
              </w:rPr>
              <w:t>Climate Change:</w:t>
            </w:r>
            <w:r w:rsidR="00534D81">
              <w:rPr>
                <w:rFonts w:ascii="Arial" w:hAnsi="Arial"/>
                <w:b/>
              </w:rPr>
              <w:t xml:space="preserve"> None</w:t>
            </w:r>
          </w:p>
          <w:p w:rsidR="00E524AE" w:rsidRPr="00E73D2F" w:rsidRDefault="00E524AE" w:rsidP="003D5331">
            <w:pPr>
              <w:rPr>
                <w:rFonts w:ascii="Arial" w:hAnsi="Arial"/>
                <w:b/>
              </w:rPr>
            </w:pPr>
          </w:p>
        </w:tc>
      </w:tr>
      <w:tr w:rsidR="00E524AE" w:rsidRPr="00E73D2F" w:rsidTr="009D08DA">
        <w:trPr>
          <w:trHeight w:val="345"/>
        </w:trPr>
        <w:tc>
          <w:tcPr>
            <w:tcW w:w="1697" w:type="dxa"/>
            <w:vMerge/>
            <w:shd w:val="clear" w:color="auto" w:fill="auto"/>
          </w:tcPr>
          <w:p w:rsidR="00E524AE" w:rsidRPr="00E73D2F" w:rsidRDefault="00E524AE" w:rsidP="002E566A">
            <w:pPr>
              <w:rPr>
                <w:rFonts w:ascii="Arial" w:hAnsi="Arial"/>
                <w:b/>
              </w:rPr>
            </w:pPr>
          </w:p>
        </w:tc>
        <w:tc>
          <w:tcPr>
            <w:tcW w:w="7319" w:type="dxa"/>
            <w:gridSpan w:val="2"/>
            <w:shd w:val="clear" w:color="auto" w:fill="auto"/>
          </w:tcPr>
          <w:p w:rsidR="00E524AE" w:rsidRPr="00CE022F" w:rsidRDefault="00E524AE" w:rsidP="003D5331">
            <w:pPr>
              <w:rPr>
                <w:rFonts w:ascii="Arial" w:hAnsi="Arial"/>
              </w:rPr>
            </w:pPr>
            <w:r>
              <w:rPr>
                <w:rFonts w:ascii="Arial" w:hAnsi="Arial"/>
                <w:b/>
              </w:rPr>
              <w:t>Data Protection:</w:t>
            </w:r>
            <w:r w:rsidR="00534D81">
              <w:rPr>
                <w:rFonts w:ascii="Arial" w:hAnsi="Arial"/>
                <w:b/>
              </w:rPr>
              <w:t xml:space="preserve"> None</w:t>
            </w:r>
          </w:p>
          <w:p w:rsidR="00E524AE" w:rsidRPr="00E73D2F" w:rsidRDefault="00E524AE" w:rsidP="003D5331">
            <w:pPr>
              <w:rPr>
                <w:rFonts w:ascii="Arial" w:hAnsi="Arial"/>
                <w:b/>
              </w:rPr>
            </w:pPr>
          </w:p>
        </w:tc>
      </w:tr>
      <w:tr w:rsidR="00E524AE" w:rsidRPr="00E73D2F" w:rsidTr="009D08DA">
        <w:trPr>
          <w:trHeight w:val="325"/>
        </w:trPr>
        <w:tc>
          <w:tcPr>
            <w:tcW w:w="1697" w:type="dxa"/>
            <w:vMerge/>
            <w:shd w:val="clear" w:color="auto" w:fill="auto"/>
          </w:tcPr>
          <w:p w:rsidR="00E524AE" w:rsidRPr="00E73D2F" w:rsidRDefault="00E524AE" w:rsidP="003D5331">
            <w:pPr>
              <w:rPr>
                <w:rFonts w:ascii="Arial" w:hAnsi="Arial"/>
                <w:b/>
              </w:rPr>
            </w:pPr>
          </w:p>
        </w:tc>
        <w:tc>
          <w:tcPr>
            <w:tcW w:w="7319" w:type="dxa"/>
            <w:gridSpan w:val="2"/>
            <w:shd w:val="clear" w:color="auto" w:fill="auto"/>
          </w:tcPr>
          <w:p w:rsidR="00E524AE" w:rsidRPr="00CE022F" w:rsidRDefault="00E524AE" w:rsidP="003D5331">
            <w:pPr>
              <w:rPr>
                <w:rFonts w:ascii="Arial" w:hAnsi="Arial"/>
              </w:rPr>
            </w:pPr>
            <w:r w:rsidRPr="00E524AE">
              <w:rPr>
                <w:rFonts w:ascii="Arial" w:hAnsi="Arial"/>
                <w:b/>
              </w:rPr>
              <w:t>Human Rights:</w:t>
            </w:r>
            <w:r w:rsidR="00534D81">
              <w:rPr>
                <w:rFonts w:ascii="Arial" w:hAnsi="Arial"/>
                <w:b/>
              </w:rPr>
              <w:t xml:space="preserve"> None</w:t>
            </w:r>
          </w:p>
          <w:p w:rsidR="00E524AE" w:rsidRPr="00E524AE" w:rsidRDefault="00E524AE" w:rsidP="003D5331">
            <w:pPr>
              <w:rPr>
                <w:rFonts w:ascii="Arial" w:hAnsi="Arial"/>
                <w:b/>
              </w:rPr>
            </w:pPr>
          </w:p>
        </w:tc>
      </w:tr>
      <w:tr w:rsidR="00E524AE" w:rsidRPr="00E73D2F" w:rsidTr="009D08DA">
        <w:trPr>
          <w:trHeight w:val="325"/>
        </w:trPr>
        <w:tc>
          <w:tcPr>
            <w:tcW w:w="1697" w:type="dxa"/>
            <w:vMerge/>
            <w:shd w:val="clear" w:color="auto" w:fill="auto"/>
          </w:tcPr>
          <w:p w:rsidR="00E524AE" w:rsidRPr="00E73D2F" w:rsidRDefault="00E524AE" w:rsidP="003D5331">
            <w:pPr>
              <w:rPr>
                <w:rFonts w:ascii="Arial" w:hAnsi="Arial"/>
                <w:b/>
              </w:rPr>
            </w:pPr>
          </w:p>
        </w:tc>
        <w:tc>
          <w:tcPr>
            <w:tcW w:w="7319" w:type="dxa"/>
            <w:gridSpan w:val="2"/>
            <w:shd w:val="clear" w:color="auto" w:fill="auto"/>
          </w:tcPr>
          <w:p w:rsidR="008F26A7" w:rsidRDefault="00E524AE" w:rsidP="008F26A7">
            <w:pPr>
              <w:ind w:left="720" w:hanging="720"/>
              <w:rPr>
                <w:rFonts w:ascii="Arial" w:hAnsi="Arial"/>
              </w:rPr>
            </w:pPr>
            <w:r w:rsidRPr="00E524AE">
              <w:rPr>
                <w:rFonts w:ascii="Arial" w:hAnsi="Arial"/>
                <w:b/>
              </w:rPr>
              <w:t>Equality and Diversity:</w:t>
            </w:r>
            <w:r w:rsidR="00E74CDA">
              <w:rPr>
                <w:rFonts w:ascii="Arial" w:hAnsi="Arial"/>
                <w:b/>
              </w:rPr>
              <w:t xml:space="preserve"> </w:t>
            </w:r>
            <w:r w:rsidR="00534D81">
              <w:rPr>
                <w:rFonts w:ascii="Arial" w:hAnsi="Arial"/>
                <w:b/>
              </w:rPr>
              <w:t>None</w:t>
            </w:r>
            <w:r w:rsidR="008F26A7" w:rsidRPr="008F26A7">
              <w:rPr>
                <w:rFonts w:ascii="Arial" w:hAnsi="Arial"/>
              </w:rPr>
              <w:t xml:space="preserve"> </w:t>
            </w:r>
          </w:p>
          <w:p w:rsidR="00E524AE" w:rsidRPr="00E524AE" w:rsidRDefault="00E524AE" w:rsidP="003F7790">
            <w:pPr>
              <w:rPr>
                <w:rFonts w:ascii="Arial" w:hAnsi="Arial"/>
                <w:b/>
              </w:rPr>
            </w:pPr>
          </w:p>
        </w:tc>
      </w:tr>
      <w:tr w:rsidR="003D5331" w:rsidRPr="00E73D2F" w:rsidTr="009D08DA">
        <w:trPr>
          <w:trHeight w:val="368"/>
        </w:trPr>
        <w:tc>
          <w:tcPr>
            <w:tcW w:w="1697"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319" w:type="dxa"/>
            <w:gridSpan w:val="2"/>
            <w:shd w:val="clear" w:color="auto" w:fill="auto"/>
          </w:tcPr>
          <w:p w:rsidR="003D5331" w:rsidRDefault="003D5331" w:rsidP="003D5331">
            <w:pPr>
              <w:rPr>
                <w:rFonts w:ascii="Arial" w:hAnsi="Arial"/>
                <w:b/>
              </w:rPr>
            </w:pPr>
            <w:r w:rsidRPr="00E73D2F">
              <w:rPr>
                <w:rFonts w:ascii="Arial" w:hAnsi="Arial"/>
                <w:b/>
              </w:rPr>
              <w:t>Head of Paid Service:</w:t>
            </w:r>
            <w:r w:rsidR="00534D81">
              <w:rPr>
                <w:rFonts w:ascii="Arial" w:hAnsi="Arial"/>
                <w:b/>
              </w:rPr>
              <w:t xml:space="preserve"> N//A</w:t>
            </w:r>
          </w:p>
          <w:p w:rsidR="00E74CDA" w:rsidRPr="00E73D2F" w:rsidRDefault="00E74CDA" w:rsidP="003D5331">
            <w:pPr>
              <w:rPr>
                <w:rFonts w:ascii="Arial" w:hAnsi="Arial"/>
                <w:b/>
              </w:rPr>
            </w:pPr>
          </w:p>
        </w:tc>
      </w:tr>
      <w:tr w:rsidR="003D5331" w:rsidRPr="00E73D2F" w:rsidTr="009D08DA">
        <w:trPr>
          <w:trHeight w:val="366"/>
        </w:trPr>
        <w:tc>
          <w:tcPr>
            <w:tcW w:w="1697" w:type="dxa"/>
            <w:vMerge/>
            <w:shd w:val="clear" w:color="auto" w:fill="auto"/>
          </w:tcPr>
          <w:p w:rsidR="003D5331" w:rsidRPr="00E73D2F" w:rsidRDefault="003D5331" w:rsidP="00E73D2F">
            <w:pPr>
              <w:ind w:right="-109"/>
              <w:rPr>
                <w:rFonts w:ascii="Arial" w:hAnsi="Arial"/>
                <w:b/>
              </w:rPr>
            </w:pPr>
          </w:p>
        </w:tc>
        <w:tc>
          <w:tcPr>
            <w:tcW w:w="7319" w:type="dxa"/>
            <w:gridSpan w:val="2"/>
            <w:shd w:val="clear" w:color="auto" w:fill="auto"/>
          </w:tcPr>
          <w:p w:rsidR="00E74CDA" w:rsidRDefault="003D5331" w:rsidP="009D08DA">
            <w:pPr>
              <w:rPr>
                <w:rFonts w:ascii="Arial" w:hAnsi="Arial"/>
                <w:b/>
              </w:rPr>
            </w:pPr>
            <w:r w:rsidRPr="00E73D2F">
              <w:rPr>
                <w:rFonts w:ascii="Arial" w:hAnsi="Arial"/>
                <w:b/>
              </w:rPr>
              <w:t>Monitoring Officer:</w:t>
            </w:r>
            <w:r w:rsidR="00534D81">
              <w:rPr>
                <w:rFonts w:ascii="Arial" w:hAnsi="Arial"/>
                <w:b/>
              </w:rPr>
              <w:t xml:space="preserve"> N/A </w:t>
            </w:r>
          </w:p>
          <w:p w:rsidR="009D08DA" w:rsidRPr="00E73D2F" w:rsidRDefault="009D08DA" w:rsidP="009D08DA">
            <w:pPr>
              <w:rPr>
                <w:rFonts w:ascii="Arial" w:hAnsi="Arial"/>
                <w:b/>
              </w:rPr>
            </w:pPr>
          </w:p>
        </w:tc>
      </w:tr>
      <w:tr w:rsidR="003D5331" w:rsidRPr="00E73D2F" w:rsidTr="009D08DA">
        <w:trPr>
          <w:trHeight w:val="366"/>
        </w:trPr>
        <w:tc>
          <w:tcPr>
            <w:tcW w:w="1697" w:type="dxa"/>
            <w:vMerge/>
            <w:shd w:val="clear" w:color="auto" w:fill="auto"/>
          </w:tcPr>
          <w:p w:rsidR="003D5331" w:rsidRPr="00E73D2F" w:rsidRDefault="003D5331" w:rsidP="00E73D2F">
            <w:pPr>
              <w:ind w:right="-109"/>
              <w:rPr>
                <w:rFonts w:ascii="Arial" w:hAnsi="Arial"/>
                <w:b/>
              </w:rPr>
            </w:pPr>
          </w:p>
        </w:tc>
        <w:tc>
          <w:tcPr>
            <w:tcW w:w="7319" w:type="dxa"/>
            <w:gridSpan w:val="2"/>
            <w:shd w:val="clear" w:color="auto" w:fill="auto"/>
          </w:tcPr>
          <w:p w:rsidR="00534D81" w:rsidRPr="00E73D2F" w:rsidRDefault="003D5331" w:rsidP="009D08DA">
            <w:pPr>
              <w:rPr>
                <w:rFonts w:ascii="Arial" w:hAnsi="Arial"/>
                <w:b/>
              </w:rPr>
            </w:pPr>
            <w:r w:rsidRPr="00E73D2F">
              <w:rPr>
                <w:rFonts w:ascii="Arial" w:hAnsi="Arial"/>
                <w:b/>
              </w:rPr>
              <w:t>Section 151 Officer:</w:t>
            </w:r>
            <w:r w:rsidR="00534D81">
              <w:rPr>
                <w:rFonts w:ascii="Arial" w:hAnsi="Arial"/>
                <w:b/>
              </w:rPr>
              <w:t xml:space="preserve"> N/A </w:t>
            </w:r>
          </w:p>
        </w:tc>
      </w:tr>
      <w:tr w:rsidR="00046933" w:rsidRPr="00E73D2F" w:rsidTr="009D08DA">
        <w:tc>
          <w:tcPr>
            <w:tcW w:w="1697" w:type="dxa"/>
            <w:shd w:val="clear" w:color="auto" w:fill="auto"/>
          </w:tcPr>
          <w:p w:rsidR="00046933" w:rsidRPr="00E73D2F" w:rsidRDefault="00046933" w:rsidP="00E73D2F">
            <w:pPr>
              <w:ind w:right="-109"/>
              <w:rPr>
                <w:rFonts w:ascii="Arial" w:hAnsi="Arial"/>
                <w:b/>
              </w:rPr>
            </w:pPr>
            <w:r w:rsidRPr="00E73D2F">
              <w:rPr>
                <w:rFonts w:ascii="Arial" w:hAnsi="Arial"/>
                <w:b/>
              </w:rPr>
              <w:t>Signature of Decision Taker:</w:t>
            </w:r>
          </w:p>
          <w:p w:rsidR="00046933" w:rsidRPr="00922488" w:rsidRDefault="002E566A" w:rsidP="00E73D2F">
            <w:pPr>
              <w:ind w:right="-109"/>
              <w:rPr>
                <w:rFonts w:ascii="Arial" w:hAnsi="Arial"/>
              </w:rPr>
            </w:pPr>
            <w:r w:rsidRPr="00E73D2F">
              <w:rPr>
                <w:rFonts w:ascii="Arial" w:hAnsi="Arial"/>
              </w:rPr>
              <w:t>(Please do not ‘pp’)</w:t>
            </w:r>
          </w:p>
        </w:tc>
        <w:tc>
          <w:tcPr>
            <w:tcW w:w="7319" w:type="dxa"/>
            <w:gridSpan w:val="2"/>
            <w:shd w:val="clear" w:color="auto" w:fill="auto"/>
          </w:tcPr>
          <w:p w:rsidR="008D4EBC" w:rsidRDefault="00E73ABE" w:rsidP="003D5331">
            <w:pPr>
              <w:rPr>
                <w:rFonts w:ascii="Arial" w:hAnsi="Arial" w:cs="Arial"/>
                <w:noProof/>
              </w:rPr>
            </w:pPr>
            <w:r>
              <w:rPr>
                <w:rFonts w:ascii="Arial" w:hAnsi="Arial" w:cs="Arial"/>
                <w:noProof/>
              </w:rPr>
              <w:t>Sarah Hall</w:t>
            </w:r>
          </w:p>
          <w:p w:rsidR="00E73ABE" w:rsidRPr="00E73D2F" w:rsidRDefault="00E73ABE" w:rsidP="003D5331">
            <w:pPr>
              <w:rPr>
                <w:rFonts w:ascii="Arial" w:hAnsi="Arial"/>
                <w:b/>
              </w:rPr>
            </w:pPr>
            <w:r>
              <w:rPr>
                <w:rFonts w:ascii="Arial" w:hAnsi="Arial" w:cs="Arial"/>
                <w:noProof/>
              </w:rPr>
              <w:t>Head of Law and Governance</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9F6" w:rsidRDefault="007069F6">
      <w:r>
        <w:separator/>
      </w:r>
    </w:p>
  </w:endnote>
  <w:endnote w:type="continuationSeparator" w:id="0">
    <w:p w:rsidR="007069F6" w:rsidRDefault="0070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9F6" w:rsidRDefault="007069F6">
      <w:r>
        <w:separator/>
      </w:r>
    </w:p>
  </w:footnote>
  <w:footnote w:type="continuationSeparator" w:id="0">
    <w:p w:rsidR="007069F6" w:rsidRDefault="00706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38618D"/>
    <w:multiLevelType w:val="hybridMultilevel"/>
    <w:tmpl w:val="2E2A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46933"/>
    <w:rsid w:val="000511FB"/>
    <w:rsid w:val="000553E6"/>
    <w:rsid w:val="000C2E4B"/>
    <w:rsid w:val="000C7A93"/>
    <w:rsid w:val="000E147C"/>
    <w:rsid w:val="00100F00"/>
    <w:rsid w:val="00122023"/>
    <w:rsid w:val="00136429"/>
    <w:rsid w:val="00154649"/>
    <w:rsid w:val="00162039"/>
    <w:rsid w:val="00165587"/>
    <w:rsid w:val="001E73CC"/>
    <w:rsid w:val="00284ECD"/>
    <w:rsid w:val="002D6E1E"/>
    <w:rsid w:val="002E4C1F"/>
    <w:rsid w:val="002E566A"/>
    <w:rsid w:val="00341D64"/>
    <w:rsid w:val="00362485"/>
    <w:rsid w:val="00362D1E"/>
    <w:rsid w:val="00373837"/>
    <w:rsid w:val="003A04B0"/>
    <w:rsid w:val="003A7A26"/>
    <w:rsid w:val="003D1EFF"/>
    <w:rsid w:val="003D5331"/>
    <w:rsid w:val="003F7790"/>
    <w:rsid w:val="004251A2"/>
    <w:rsid w:val="004437AD"/>
    <w:rsid w:val="004853CF"/>
    <w:rsid w:val="004A4D03"/>
    <w:rsid w:val="004D06E5"/>
    <w:rsid w:val="00534D81"/>
    <w:rsid w:val="00557B22"/>
    <w:rsid w:val="00586F20"/>
    <w:rsid w:val="005F66FF"/>
    <w:rsid w:val="00640F4F"/>
    <w:rsid w:val="0067381A"/>
    <w:rsid w:val="00693778"/>
    <w:rsid w:val="006A2F0C"/>
    <w:rsid w:val="006C36F8"/>
    <w:rsid w:val="007069F6"/>
    <w:rsid w:val="0071612B"/>
    <w:rsid w:val="00721168"/>
    <w:rsid w:val="00753EAF"/>
    <w:rsid w:val="00762D5A"/>
    <w:rsid w:val="00771E5A"/>
    <w:rsid w:val="00793D98"/>
    <w:rsid w:val="007B7BFB"/>
    <w:rsid w:val="007C1A8D"/>
    <w:rsid w:val="008D4EBC"/>
    <w:rsid w:val="008F26A7"/>
    <w:rsid w:val="00922488"/>
    <w:rsid w:val="00945912"/>
    <w:rsid w:val="00957E23"/>
    <w:rsid w:val="00993D2B"/>
    <w:rsid w:val="009B6FB1"/>
    <w:rsid w:val="009C3E0D"/>
    <w:rsid w:val="009D08DA"/>
    <w:rsid w:val="009D72AA"/>
    <w:rsid w:val="00A63473"/>
    <w:rsid w:val="00A64365"/>
    <w:rsid w:val="00AE68C9"/>
    <w:rsid w:val="00B01B98"/>
    <w:rsid w:val="00B7790D"/>
    <w:rsid w:val="00BB1318"/>
    <w:rsid w:val="00BB48D6"/>
    <w:rsid w:val="00BD26AC"/>
    <w:rsid w:val="00C61517"/>
    <w:rsid w:val="00CE022F"/>
    <w:rsid w:val="00D06ED5"/>
    <w:rsid w:val="00D6008D"/>
    <w:rsid w:val="00D70FF0"/>
    <w:rsid w:val="00DB4772"/>
    <w:rsid w:val="00DF5B3E"/>
    <w:rsid w:val="00DF795C"/>
    <w:rsid w:val="00E4397C"/>
    <w:rsid w:val="00E524AE"/>
    <w:rsid w:val="00E73048"/>
    <w:rsid w:val="00E73ABE"/>
    <w:rsid w:val="00E73D2F"/>
    <w:rsid w:val="00E74CDA"/>
    <w:rsid w:val="00EA57CD"/>
    <w:rsid w:val="00FD5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1B362"/>
  <w15:chartTrackingRefBased/>
  <w15:docId w15:val="{0E99EF4C-0CA3-4206-9434-E90762C0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 w:type="paragraph" w:styleId="ListParagraph">
    <w:name w:val="List Paragraph"/>
    <w:basedOn w:val="Normal"/>
    <w:uiPriority w:val="34"/>
    <w:qFormat/>
    <w:rsid w:val="009D0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2117</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3</cp:revision>
  <dcterms:created xsi:type="dcterms:W3CDTF">2022-01-28T08:36:00Z</dcterms:created>
  <dcterms:modified xsi:type="dcterms:W3CDTF">2022-01-28T08:36:00Z</dcterms:modified>
</cp:coreProperties>
</file>